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2014/91 vom 6. Januar 2017</w:t>
      </w:r>
    </w:p>
    <w:p>
      <w:r>
        <w:t>Sg Versicherungsgericht, 2017-01-06, DE</w:t>
      </w:r>
    </w:p>
    <w:p>
      <w:r>
        <w:rPr>
          <w:b/>
        </w:rPr>
        <w:t xml:space="preserve">Quelle: </w:t>
      </w:r>
      <w:r>
        <w:t>https://mcp.opencaselaw.ch/entscheid/sg_publikationen_UV 2014_91</w:t>
      </w:r>
    </w:p>
    <w:p>
      <w:r>
        <w:t>FR: SG_VERSICHERUNGSGERICHT UV 2014/91 du 6 janvier 2017</w:t>
      </w:r>
    </w:p>
    <w:p>
      <w:r>
        <w:t>IT: SG_VERSICHERUNGSGERICHT UV 2014/91 del 6 gennaio 2017</w:t>
      </w:r>
    </w:p>
    <w:p>
      <w:pPr>
        <w:pStyle w:val="Heading2"/>
      </w:pPr>
      <w:r>
        <w:t>Regeste</w:t>
      </w:r>
    </w:p>
    <w:p>
      <w:r>
        <w:t>Art. 11 UVG. Art. 21 UVG.Nichtrentenbezüger können auch nach Erreichen des medizinischen Endzustands bzw. nach "Fallabschluss" grundsätzlich Anspruch auf Hilfsmittel der UV haben (Entscheid des Versicherungsgerichts des Kantons St. Gallen vom 6. Januar 2017, UV 2014/91). Bestätigt durch Urteil des Bundesgerichts 8C_126/2017.</w:t>
      </w:r>
    </w:p>
    <w:p>
      <w:pPr>
        <w:pStyle w:val="Heading2"/>
      </w:pPr>
      <w:r>
        <w:t>Erwägungen</w:t>
      </w:r>
    </w:p>
    <w:p>
      <w:r>
        <w:rPr>
          <w:b/>
        </w:rPr>
        <w:t>E. 1</w:t>
      </w:r>
    </w:p>
    <w:p>
      <w:r>
        <w:t>Der Rechtsvertreter des Beschwerdeführers hat die Aufhebung der Verfügung vom 10. April 2014 beantragt. Seine Beschwerde hat sich aber nicht gegen jene Verfügung, sondern nur gegen den Einspracheentscheid vom 29. Oktober 2014 richten können (vgl. Art. 56 Abs. 1 ATSG). Da sich der Beschwerdeschrift eindeutig entnehmen lässt, dass sich diese gegen den Einspracheentscheid vom 29. Oktober 2014 richtet, ist der auf die Aufhebung der Verfügung vom 10. April 2014 lautende Antrag nicht wörtlich, sondern sinngemäss als auf die Aufhebung des Einspracheentscheides vom 29. Oktober 2014 abzielend zu verstehen. Den Anfechtungsgegenstand dieses Beschwerdeverfahrens bildet also der Einspracheentscheid vom 29. Oktober 2014. Dieser enthält zwei grundsätzlich voneinander unabhängige Streitgegenstände, nämlich einerseits die Zusprache einer Integritätsentschädigung und andererseits die Abweisung des Begehrens um eine Kostenvergütung. Da sich die vorliegende Beschwerde nur gegen die Abweisung des Begehrens um eine Kostenvergütung und nicht mehr gegen die Zusprache einer Integritätsentschädigung beziehungsweise deren Höhe richtet, beschränkt sich der Streitgegenstand dieses Beschwerdeverfahrens nur auf diesen einen der beiden Streitgegenstände des Einspracheverfahrens. Hinsichtlich der Integritätsentschädigung ist der angefochtene Einspracheentscheid vom 29. Oktober 2014 also unangefochten in formelle Rechtskraft erwachsen.</w:t>
      </w:r>
    </w:p>
    <w:p>
      <w:r>
        <w:rPr>
          <w:b/>
        </w:rPr>
        <w:t>E. 2</w:t>
      </w:r>
    </w:p>
    <w:p>
      <w:r>
        <w:t>2.1  Laut dem Art. 11 Abs. 1 UVG hat eine versicherte Person einen Anspruch auf jene Hilfsmittel, die eine körperliche Schädigung oder einen Funktionsausfall ausgleichen. Anders als in Bezug auf die Heilbehandlung enthält das UVG bezüglich der Hilfsmittel keine zeitliche Anspruchsbegrenzung bzw. keine Terminierung. Der Hilfsmittelanspruch fällt also nicht dahin, wenn von der Fortsetzung der ärztlichen Behandlung keine namhafte Besserung des Gesundheitszustands mehr zu erwarten ist (vgl. Art. 19 Abs. 1 UVG). In Bezug auf einen allfälligen Hilfsmittelbedarf kann denn der Stand der medizinischen Eingliederung auch gar keine massgebende Rolle spielen, denn in aller Regel besteht auch nach Erreichen eines stabilen Gesundheitszustands bzw. nach dem Abschluss der medizinischen Eingliederung weiterhin ein Bedarf nach einem Ersatz eines verlorenen Körperteils oder einer verlorenen Körperfunktion. 2.2  Nach dem Art. 21 Abs. 1 UVG werden dem Bezüger nach Festsetzung der Rente die Pflegeleistungen und Kostenvergütungen (Art. 10–13) gewährt, wenn er (a) an einer Berufskrankheit leidet; (b) unter einem Rückfall oder an Spätfolgen leidet und die Erwerbsfähigkeit durch medizinische Vorkehren wesentlich verbessert oder vor wesentlicher Beeinträchtigung bewahrt werden kann; (c) zur Erhaltung seiner verbleibenden Erwerbsfähigkeit dauernd der Behandlung und Pflege bedarf; (d) erwerbsunfähig ist und sein Gesundheitszustand durch medizinische Vorkehren wesentlich verbessert oder vor wesentlicher Beeinträchtigung bewahrt werden kann. Gemäss der Botschaft des Bundesrates vom 18. August 1976 hat der Gesetzgeber mit dem Art. 21 UVG im Vergleich zur damals geltenden Regelung (im KUVG) die Möglichkeiten zur Vergütung von Heilbehandlungskosten explizit erweitern wollen (BBl 1976 III 191 f.). Der Art. 21 Abs. 1 UVG schränkt den Anspruch eines Rentenbezügers auf „Pflegeleistungen und Kostenvergütungen (Art. 10–13 UVG)“ allerdings ein, indem er diese Leistungen nur gewährt, wenn eine der Voraussetzungen von lit. a bis d gegeben ist. Es fragt sich, ob diese Einschränkung aufgrund des Verweises (auch) auf den Art. 11 UVG auch für den Hilfsmittelanspruch Geltung hat. In der Botschaft wird in den Ausführungen zu Art. 21 UVG nur auf die Heilbehandlung Bezug genommen, nicht jedoch auf die Leistungen gemäss Art. 11 bis 13 (Hilfsmittel, Sachschäden, Reise-, Transport- und Rettungskosten; vgl. BBl 1976 III 191 f.). Bei den Ausführungen zum Hilfsmittelartikel wird zwar festgehalten, dass die Hilfsmittel lediglich eine Ergänzung der ärztlichen Behandlung darstellen (BBl 1976 III 188). Dieser Hinweis steht jedoch einzig im Kontext der Abgrenzung zu den Hilfsmitteln der IV, die insbesondere der beruflichen Eingliederung dienen (siehe die an der zitierten Stelle genannten Beispiele: Prothesen, Hörgeräte als UV-Hilfsmittel einerseits; Fahrzeuge, Einrichtungen des Arbeitsplatzes etc. als IV-Hilfsmittel andererseits). Es finden sich keine Hinweise darauf, dass der Gesetzgeber den Hilfsmittelanspruch mit dem neuen Art. 21 UVG – im Vergleich zur damals geltenden Regelung – einschränken wollte. Ansonsten hätte er explizit erwähnen müssen, dass er den Rentenbezügern die benötigten Hilfsmittel nicht mehr, wie unter der Geltung des KUVG (vgl. Art. 76 KUVG), uneingeschränkt abgeben, sondern den Hilfsmittelanspruch neu einschränken wolle (zumal dies ja seiner erklärten Absicht, den Sachleistungsanspruch für die Zeit nach dem Abschluss der medizinischen Eingliederung bzw. nach Erreichen des medizinischen Endzustands im Vergleich zur damals geltenden Regelung zu erweitern, widersprochen hätte). Eine solche gewollte Einschränkung lässt sich weder den Ausführungen zum Art. 11 UVG (vgl. BBl 1976 III 188) noch den allgemeinen Ausführungen zu den Pflegeleistungen und Kostenvergütungen (vgl. BBl 1976 III 166 f.) entnehmen. Der Bundesrat hat in seiner Botschaft festgehalten, dass das geltende System „kaum je der Kritik gerufen“ habe (BBl 1976 III 167), weshalb er es im Wesentlichen beibehalten wolle. Dabei ist davon auszugehen, dass ihm bewusst gewesen ist, dass die Hilfsmittel nach dem „geltenden System“ nicht nur vor dem Abschluss der medizinischen Behandlung, sondern grundsätzlich im Gegenteil erst bei Erreichen des medizinischen Endzustands abgegeben worden waren (vgl. BBl 1976 III 145; der Art. 76 KUVG sah vor, dass "die Anstalt" den Versicherten "noch mit den nötigen Hilfsmitteln" ausrüste, wenn von der Fortsetzung der ärztlichen Behandlung eine namhafte Besserung des Gesundheitszustands nicht erwartet werden könne). In der Lehre wird der Art. 21 UVG ebenfalls als eine – ausschliessliche – Einschränkung des Heilbehandlungs- respektive „Nachbehandlungsanspruchs“ (vgl. die entsprechende Terminologie in BBl 1976 III 191 f.) verstanden (vgl. ALFRED MAURER, Schweizerisches Unfallversicherungsrecht, 2. Aufl. 1989, S. 382 ff.). Auch das Zürcher Sozialversicherungsgericht vertritt im Ergebnis die Auffassung, der Art. 21 UVG beziehe sich nicht auf den Hilfsmittelanspruch bzw. schränke diesen nicht ein (vgl. ohne einlässliche Begründung die Entscheide UV.2002.00074 vom 24. März 2003, E. 3.3 in fine, und UV.2011.00043 vom 25. September 2012, E. 4.1). Zusammenfassend ist abgesehen vom den Hilfsmittelanspruch (Art. 11 UVG) nicht ausdrücklich erwähnenden Wortlaut des Art. 21 UVG - konkreter: abgesehen vom dortigen Verweis u.a. auf den Art. 11 - kein Grund ersichtlich, weshalb sich der Hilfsmittelanspruch nach dem Abschluss der medizinischen Eingliederung (respektive sobald von der Fortsetzung der ärztlichen Behandlung keine namhafte Verbesserung des Gesundheitszustandes mehr zu erwarten ist) von jenem vor dem Abschluss der medizinischen Eingliederung unterscheiden sollte. Einen solchen Grund nannte auch das Bundesgericht im von der Beschwerdegegnerin erwähnten BGE 134 V 109 E. 4.2 für Hilfsmittel nicht. Für den Hilfsmittelanspruch erweist sich der Zeitpunkt des sogenannten Fallabschlusses folglich als irrelevant. 2.3  Mit diesem Ergebnis im Einklang steht im Übrigen auch Art. 6 Abs. 2 HVUV, wonach der Versicherer die Kosten für Reparatur, Anpassung oder Erneuerung eines sorgfältig verwendeten Hilfsmittels übernimmt, soweit nicht ein Dritter ersatzpflichtig ist. Dass nach dem "Fallabschluss" für die nötige Erneuerung eines Hilfsmittels strengere Voraussetzungen gelten sollten als bei der ursprünglichen Zusprache, lässt sich nicht überzeugend begründen. 2.4  Im Übrigen ist zu beachten, dass sich Art. 21 UVG gemäss dem Wortlaut auf Rentenbezüger beschränkt und sich eine Anwendung auf Nicht-Rentner, zu denen der Beschwerdeführer unstreitig gehört, weder aufdrängt noch rechtfertigt (so auch das Bundesgericht im Entscheid 8C_191/2011 vom 16. September 2011 E. 5.2). Daraus lässt sich jedoch zumindest für die Hilfsmittel nicht der Schluss ziehen, für Nichtrentner ende mit dem Erreichen des medizinischen Endzustands bzw. mit dem Fallabschluss jeglicher Leistungsanspruch (wie dies das Bundesgericht für Heilbehandlungen in 8C_191/2011 getan hat; siehe die Kritik an dieser Praxis von FELIX HUNZIKER-BLUM, Doch: Langfrist-Heilbehandlungsleistungen gibts auch im UVG, in: HAVE 2014 S. 136). Ein solches Ergebnis lässt sich weder historisch noch systematisch noch teleologisch begründen (vgl. dazu MIRIAM LENDFERS, Heilbehandlung und Hilfsmittel nach Fallabschluss, erscheint in: Kieser/Lendfers, Jahrbuch zum Sozialversicherungsrecht 2017, Zürich/St. Gallen 2017). 2.5  Aus den vorstehenden Erwägungen ergibt sich, dass die Beschwerdegegnerin die Kosten notwendiger Hilfsmittel grundsätzlich auch nach "Fallabschluss" zu übernehmen hat. Auch wenn im vorliegenden Fall der Hilfsmittelbedarf gemäss den nachvollziehbaren und plausiblen Ausführungen von Dr. B.___ nur teilweise als unfallkausal zu qualifizieren ist, hat die Beschwerdegegnerin für die gesamten Kosten der orthopädischen Einlagen aufzukommen. Laut dem Art. 36 Abs. 1 UVG werden die Pflegeleistungen und Kostenvergütungen nämlich auch dann nicht gekürzt, wenn die Gesundheitsschädigung nur teilweise die Folge eines Unfalles ist. 2.6  Abschliessend ist darauf hinzuweisen, dass der im angefochtenen Entscheid enthaltene Verweis auf den Art. 6 Abs. 3 HVUV, wonach die Kosten für Betrieb und Unterhalt von Hilfsmitteln von der UV nicht übernommen werden, nicht einschlägig ist, geht es vorliegend doch nicht um eine Frage von Betrieb oder Unterhalt der Schuheinlagen, sondern um den Ersatz für - offenbar erstmals 2005 übernommene - Schuheinlagen im Sinn des Art. 6 Abs. 2 HVUV.</w:t>
      </w:r>
    </w:p>
    <w:p>
      <w:r>
        <w:rPr>
          <w:b/>
        </w:rPr>
        <w:t>E. 3</w:t>
      </w:r>
    </w:p>
    <w:p>
      <w:r>
        <w:t>Die Beschwerdegegnerin hat dem Beschwerdeführer eine Parteientschädigung von 3’000 Franken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